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r>
              <w:rPr>
                <w:rFonts w:ascii="Arial" w:hAnsi="Arial" w:cs="Arial"/>
                <w:noProof/>
                <w:sz w:val="24"/>
                <w:szCs w:val="24"/>
              </w:rPr>
              <w:drawing>
                <wp:inline distT="0" distB="0" distL="0" distR="0" wp14:anchorId="5E80991E" wp14:editId="067EF097">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FA28D7">
              <w:rPr>
                <w:b/>
                <w:color w:val="1F497D" w:themeColor="text2"/>
                <w:sz w:val="28"/>
                <w:szCs w:val="28"/>
              </w:rPr>
              <w:t xml:space="preserve">X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w:t>
            </w:r>
            <w:r w:rsidR="00AA6CCE">
              <w:rPr>
                <w:b/>
                <w:color w:val="1F497D" w:themeColor="text2"/>
              </w:rPr>
              <w:t>5/21/14</w:t>
            </w:r>
            <w:r w:rsidR="001A7200" w:rsidRPr="009F2BD1">
              <w:rPr>
                <w:b/>
                <w:color w:val="1F497D" w:themeColor="text2"/>
              </w:rPr>
              <w:t xml:space="preserve"> </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w:t>
            </w:r>
            <w:r w:rsidR="00AA6CCE">
              <w:rPr>
                <w:b/>
                <w:color w:val="1F497D" w:themeColor="text2"/>
              </w:rPr>
              <w:t xml:space="preserve">2:30 </w:t>
            </w:r>
            <w:r w:rsidR="001A7200" w:rsidRPr="009F2BD1">
              <w:rPr>
                <w:b/>
                <w:color w:val="1F497D" w:themeColor="text2"/>
              </w:rPr>
              <w:t xml:space="preserve"> </w:t>
            </w:r>
          </w:p>
          <w:p w:rsidR="00CB3767" w:rsidRPr="009F2BD1" w:rsidRDefault="00DA4F5E" w:rsidP="00FA28D7">
            <w:pPr>
              <w:rPr>
                <w:b/>
                <w:color w:val="548DD4" w:themeColor="text2" w:themeTint="99"/>
              </w:rPr>
            </w:pPr>
            <w:r w:rsidRPr="009F2BD1">
              <w:rPr>
                <w:b/>
                <w:color w:val="1F497D" w:themeColor="text2"/>
              </w:rPr>
              <w:t>Location</w:t>
            </w:r>
            <w:r w:rsidR="00EC2CBE">
              <w:rPr>
                <w:b/>
                <w:color w:val="1F497D" w:themeColor="text2"/>
              </w:rPr>
              <w:t>:</w:t>
            </w:r>
            <w:r w:rsidR="00AA6CCE">
              <w:rPr>
                <w:b/>
                <w:color w:val="1F497D" w:themeColor="text2"/>
              </w:rPr>
              <w:t xml:space="preserve"> Maine General: </w:t>
            </w:r>
            <w:proofErr w:type="spellStart"/>
            <w:r w:rsidR="00AA6CCE">
              <w:rPr>
                <w:b/>
                <w:color w:val="1F497D" w:themeColor="text2"/>
              </w:rPr>
              <w:t>Alfond</w:t>
            </w:r>
            <w:proofErr w:type="spellEnd"/>
            <w:r w:rsidR="00AA6CCE">
              <w:rPr>
                <w:b/>
                <w:color w:val="1F497D" w:themeColor="text2"/>
              </w:rPr>
              <w:t xml:space="preserve"> Center for Health </w:t>
            </w:r>
            <w:r w:rsidR="00EC2CBE">
              <w:rPr>
                <w:b/>
                <w:color w:val="1F497D" w:themeColor="text2"/>
              </w:rPr>
              <w:t xml:space="preserve"> </w:t>
            </w:r>
          </w:p>
        </w:tc>
      </w:tr>
    </w:tbl>
    <w:p w:rsidR="00783336" w:rsidRPr="00F470EF" w:rsidRDefault="00783336" w:rsidP="00B57A9B">
      <w:pPr>
        <w:jc w:val="left"/>
        <w:rPr>
          <w:rFonts w:ascii="Arial" w:hAnsi="Arial" w:cs="Arial"/>
          <w:sz w:val="24"/>
          <w:szCs w:val="24"/>
        </w:rPr>
      </w:pPr>
    </w:p>
    <w:p w:rsidR="00623713" w:rsidRPr="00623713" w:rsidRDefault="00E82E95" w:rsidP="00D90642">
      <w:pPr>
        <w:jc w:val="left"/>
        <w:rPr>
          <w:rFonts w:cstheme="minorHAnsi"/>
        </w:rPr>
      </w:pPr>
      <w:r>
        <w:rPr>
          <w:rFonts w:cstheme="minorHAnsi"/>
          <w:b/>
        </w:rPr>
        <w:t>Chair</w:t>
      </w:r>
      <w:r w:rsidR="00FA28D7">
        <w:rPr>
          <w:rFonts w:cstheme="minorHAnsi"/>
          <w:b/>
        </w:rPr>
        <w:t xml:space="preserve"> and Staff</w:t>
      </w:r>
      <w:r>
        <w:rPr>
          <w:rFonts w:cstheme="minorHAnsi"/>
          <w:b/>
        </w:rPr>
        <w:t xml:space="preserve">: </w:t>
      </w:r>
      <w:r w:rsidR="009D769B">
        <w:rPr>
          <w:rFonts w:cstheme="minorHAnsi"/>
        </w:rPr>
        <w:t xml:space="preserve">Lee </w:t>
      </w:r>
      <w:r w:rsidR="00D136B3" w:rsidRPr="009905A7">
        <w:rPr>
          <w:rFonts w:cstheme="minorHAnsi"/>
        </w:rPr>
        <w:t>Andrews, Barbara Ginley, Ben</w:t>
      </w:r>
      <w:r w:rsidR="009905A7">
        <w:rPr>
          <w:rFonts w:cstheme="minorHAnsi"/>
        </w:rPr>
        <w:t xml:space="preserve"> Hummel, </w:t>
      </w:r>
      <w:proofErr w:type="spellStart"/>
      <w:r w:rsidR="004F1BB2" w:rsidRPr="009905A7">
        <w:rPr>
          <w:rFonts w:cstheme="minorHAnsi"/>
        </w:rPr>
        <w:t>T</w:t>
      </w:r>
      <w:r w:rsidR="00E04B66">
        <w:rPr>
          <w:rFonts w:cstheme="minorHAnsi"/>
        </w:rPr>
        <w:t>H</w:t>
      </w:r>
      <w:r w:rsidR="004F1BB2" w:rsidRPr="009905A7">
        <w:rPr>
          <w:rFonts w:cstheme="minorHAnsi"/>
        </w:rPr>
        <w:t>eresa</w:t>
      </w:r>
      <w:proofErr w:type="spellEnd"/>
      <w:r w:rsidR="004F1BB2" w:rsidRPr="009905A7">
        <w:rPr>
          <w:rFonts w:cstheme="minorHAnsi"/>
        </w:rPr>
        <w:t xml:space="preserve"> Mudgett, Becca Matusovich</w:t>
      </w:r>
      <w:r w:rsidR="004F1BB2">
        <w:rPr>
          <w:rFonts w:cstheme="minorHAnsi"/>
        </w:rPr>
        <w:t xml:space="preserve">, </w:t>
      </w:r>
      <w:r w:rsidR="004F1BB2" w:rsidRPr="009905A7">
        <w:rPr>
          <w:rFonts w:cstheme="minorHAnsi"/>
        </w:rPr>
        <w:t>Kolawole Bankole</w:t>
      </w:r>
      <w:r w:rsidR="004F1BB2">
        <w:rPr>
          <w:rFonts w:cstheme="minorHAnsi"/>
        </w:rPr>
        <w:t xml:space="preserve">, </w:t>
      </w:r>
      <w:r w:rsidR="004F1BB2" w:rsidRPr="009905A7">
        <w:rPr>
          <w:rFonts w:cstheme="minorHAnsi"/>
        </w:rPr>
        <w:t>Sally Heal</w:t>
      </w:r>
      <w:r w:rsidR="00D17CC9">
        <w:rPr>
          <w:rFonts w:cstheme="minorHAnsi"/>
        </w:rPr>
        <w:t>e</w:t>
      </w:r>
      <w:r w:rsidR="004F1BB2" w:rsidRPr="009905A7">
        <w:rPr>
          <w:rFonts w:cstheme="minorHAnsi"/>
        </w:rPr>
        <w:t>y</w:t>
      </w:r>
      <w:r w:rsidR="00D17CC9">
        <w:rPr>
          <w:rFonts w:cstheme="minorHAnsi"/>
        </w:rPr>
        <w:t>,</w:t>
      </w:r>
      <w:r w:rsidR="00BB75F8">
        <w:rPr>
          <w:rFonts w:cstheme="minorHAnsi"/>
        </w:rPr>
        <w:t>, Vicki Foster</w:t>
      </w:r>
      <w:r w:rsidR="009D769B">
        <w:rPr>
          <w:rFonts w:cstheme="minorHAnsi"/>
        </w:rPr>
        <w:t xml:space="preserve">, Betty St. </w:t>
      </w:r>
      <w:proofErr w:type="spellStart"/>
      <w:r w:rsidR="009D769B">
        <w:rPr>
          <w:rFonts w:cstheme="minorHAnsi"/>
        </w:rPr>
        <w:t>Hilaire</w:t>
      </w:r>
      <w:proofErr w:type="spellEnd"/>
      <w:r w:rsidR="009D769B">
        <w:rPr>
          <w:rFonts w:cstheme="minorHAnsi"/>
        </w:rPr>
        <w:t xml:space="preserve"> </w:t>
      </w:r>
      <w:r w:rsidR="00BB75F8">
        <w:rPr>
          <w:rFonts w:cstheme="minorHAnsi"/>
        </w:rPr>
        <w:t xml:space="preserve"> </w:t>
      </w:r>
      <w:r w:rsidR="00E04B66">
        <w:rPr>
          <w:rFonts w:cstheme="minorHAnsi"/>
        </w:rPr>
        <w:t>, Dd Swan, Kristen Thomsen</w:t>
      </w: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p>
    <w:p w:rsidR="00D243A2" w:rsidRDefault="00D243A2" w:rsidP="00B50A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0"/>
          <w:footerReference w:type="default" r:id="rId11"/>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r w:rsidR="00FA28D7">
        <w:t>insert web address)</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2F48DC">
        <w:tc>
          <w:tcPr>
            <w:tcW w:w="822" w:type="pct"/>
          </w:tcPr>
          <w:p w:rsidR="00FA28D7" w:rsidRPr="00E02E71" w:rsidRDefault="00FA28D7" w:rsidP="00DF6EE8">
            <w:pPr>
              <w:pStyle w:val="Formal1"/>
              <w:rPr>
                <w:rFonts w:cstheme="minorHAnsi"/>
              </w:rPr>
            </w:pPr>
          </w:p>
        </w:tc>
        <w:tc>
          <w:tcPr>
            <w:tcW w:w="293" w:type="pct"/>
          </w:tcPr>
          <w:p w:rsidR="00FA28D7" w:rsidRPr="00FA28D7" w:rsidRDefault="00FA28D7" w:rsidP="00E02E71">
            <w:pPr>
              <w:jc w:val="left"/>
              <w:rPr>
                <w:rFonts w:cstheme="minorHAnsi"/>
              </w:rPr>
            </w:pPr>
          </w:p>
        </w:tc>
        <w:tc>
          <w:tcPr>
            <w:tcW w:w="3260" w:type="pct"/>
          </w:tcPr>
          <w:p w:rsidR="00FA28D7" w:rsidRPr="00DF6EE8" w:rsidRDefault="00844D45" w:rsidP="00844D45">
            <w:pPr>
              <w:jc w:val="left"/>
              <w:rPr>
                <w:rFonts w:cstheme="minorHAnsi"/>
              </w:rPr>
            </w:pPr>
            <w:r>
              <w:rPr>
                <w:rFonts w:cstheme="minorHAnsi"/>
              </w:rPr>
              <w:t>Issues with getting Adobe connect operating properly. We need Jim Braddick!</w:t>
            </w:r>
          </w:p>
        </w:tc>
        <w:tc>
          <w:tcPr>
            <w:tcW w:w="625" w:type="pct"/>
          </w:tcPr>
          <w:p w:rsidR="00FA28D7" w:rsidRPr="00990D1F" w:rsidRDefault="00FA28D7" w:rsidP="006A0577">
            <w:pPr>
              <w:jc w:val="left"/>
              <w:rPr>
                <w:rFonts w:cstheme="minorHAnsi"/>
              </w:rPr>
            </w:pPr>
          </w:p>
        </w:tc>
      </w:tr>
      <w:tr w:rsidR="00FA28D7" w:rsidRPr="00990D1F" w:rsidTr="002F48DC">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A28D7" w:rsidRPr="00990D1F" w:rsidTr="002F48DC">
        <w:tc>
          <w:tcPr>
            <w:tcW w:w="822" w:type="pct"/>
          </w:tcPr>
          <w:p w:rsidR="00FA28D7" w:rsidRDefault="00844D45" w:rsidP="00CF6EF2">
            <w:pPr>
              <w:jc w:val="left"/>
              <w:rPr>
                <w:rFonts w:cstheme="minorHAnsi"/>
                <w:b/>
              </w:rPr>
            </w:pPr>
            <w:r>
              <w:rPr>
                <w:rFonts w:cstheme="minorHAnsi"/>
              </w:rPr>
              <w:t>Presentation: Maine Families Home Visiting</w:t>
            </w:r>
          </w:p>
        </w:tc>
        <w:tc>
          <w:tcPr>
            <w:tcW w:w="293" w:type="pct"/>
          </w:tcPr>
          <w:p w:rsidR="00FA28D7" w:rsidRDefault="00FA28D7" w:rsidP="00D33F31">
            <w:pPr>
              <w:pStyle w:val="ListParagraph"/>
              <w:jc w:val="left"/>
              <w:rPr>
                <w:rFonts w:cstheme="minorHAnsi"/>
              </w:rPr>
            </w:pPr>
          </w:p>
        </w:tc>
        <w:tc>
          <w:tcPr>
            <w:tcW w:w="3885" w:type="pct"/>
            <w:gridSpan w:val="2"/>
          </w:tcPr>
          <w:p w:rsidR="00844D45" w:rsidRDefault="00844D45" w:rsidP="00844D45">
            <w:pPr>
              <w:jc w:val="both"/>
              <w:rPr>
                <w:rFonts w:cstheme="minorHAnsi"/>
              </w:rPr>
            </w:pPr>
            <w:r>
              <w:rPr>
                <w:rFonts w:cstheme="minorHAnsi"/>
              </w:rPr>
              <w:t xml:space="preserve">Lee Andrews as </w:t>
            </w:r>
            <w:r w:rsidRPr="00975189">
              <w:rPr>
                <w:rFonts w:cstheme="minorHAnsi"/>
              </w:rPr>
              <w:t>Maine Families Systems Coordinator</w:t>
            </w:r>
          </w:p>
          <w:p w:rsidR="00844D45" w:rsidRDefault="00844D45" w:rsidP="00844D45">
            <w:pPr>
              <w:jc w:val="left"/>
              <w:rPr>
                <w:rFonts w:cstheme="minorHAnsi"/>
              </w:rPr>
            </w:pPr>
            <w:r>
              <w:rPr>
                <w:rFonts w:cstheme="minorHAnsi"/>
              </w:rPr>
              <w:t xml:space="preserve">-Works on Federal Grant regarding contracting and reporting </w:t>
            </w:r>
          </w:p>
          <w:p w:rsidR="00844D45" w:rsidRDefault="00844D45" w:rsidP="00844D45">
            <w:pPr>
              <w:jc w:val="left"/>
              <w:rPr>
                <w:rFonts w:cstheme="minorHAnsi"/>
              </w:rPr>
            </w:pPr>
            <w:r>
              <w:rPr>
                <w:rFonts w:cstheme="minorHAnsi"/>
              </w:rPr>
              <w:t xml:space="preserve">-Serves as a liaison for program managers of Maine Families Home Visiting Program and the state </w:t>
            </w:r>
          </w:p>
          <w:p w:rsidR="00844D45" w:rsidRDefault="00844D45" w:rsidP="00844D45">
            <w:pPr>
              <w:jc w:val="left"/>
              <w:rPr>
                <w:rFonts w:cstheme="minorHAnsi"/>
              </w:rPr>
            </w:pPr>
            <w:r>
              <w:rPr>
                <w:rFonts w:cstheme="minorHAnsi"/>
              </w:rPr>
              <w:t xml:space="preserve">-Looks for opportunities for inter-agency partnerships </w:t>
            </w:r>
          </w:p>
          <w:p w:rsidR="00844D45" w:rsidRDefault="00844D45" w:rsidP="00844D45">
            <w:pPr>
              <w:jc w:val="left"/>
              <w:rPr>
                <w:rFonts w:cstheme="minorHAnsi"/>
                <w:b/>
              </w:rPr>
            </w:pPr>
          </w:p>
          <w:p w:rsidR="00844D45" w:rsidRPr="00844D45" w:rsidRDefault="00844D45" w:rsidP="00844D45">
            <w:pPr>
              <w:jc w:val="left"/>
              <w:rPr>
                <w:rFonts w:cstheme="minorHAnsi"/>
                <w:b/>
              </w:rPr>
            </w:pPr>
            <w:r w:rsidRPr="00844D45">
              <w:rPr>
                <w:rFonts w:cstheme="minorHAnsi"/>
                <w:b/>
              </w:rPr>
              <w:t xml:space="preserve">Power Point </w:t>
            </w:r>
          </w:p>
          <w:p w:rsidR="00844D45" w:rsidRDefault="00844D45" w:rsidP="00844D45">
            <w:pPr>
              <w:jc w:val="left"/>
              <w:rPr>
                <w:rFonts w:cstheme="minorHAnsi"/>
              </w:rPr>
            </w:pPr>
            <w:r>
              <w:rPr>
                <w:rFonts w:cstheme="minorHAnsi"/>
              </w:rPr>
              <w:t>Slide 2: strength based approach, a partnership with families to improve sense of stability, empowerment, self-sufficiency by linking them with resources in their community</w:t>
            </w:r>
          </w:p>
          <w:p w:rsidR="00844D45" w:rsidRDefault="00844D45" w:rsidP="00844D45">
            <w:pPr>
              <w:jc w:val="left"/>
              <w:rPr>
                <w:rFonts w:cstheme="minorHAnsi"/>
              </w:rPr>
            </w:pPr>
            <w:r>
              <w:rPr>
                <w:rFonts w:cstheme="minorHAnsi"/>
              </w:rPr>
              <w:t xml:space="preserve">Slide 3 no income criteria to qualify </w:t>
            </w:r>
          </w:p>
          <w:p w:rsidR="00844D45" w:rsidRDefault="00844D45" w:rsidP="00844D45">
            <w:pPr>
              <w:jc w:val="left"/>
              <w:rPr>
                <w:rFonts w:cstheme="minorHAnsi"/>
              </w:rPr>
            </w:pPr>
            <w:r>
              <w:rPr>
                <w:rFonts w:cstheme="minorHAnsi"/>
              </w:rPr>
              <w:t xml:space="preserve">Slide 5 project encourages community partners to refer clients when pregnant </w:t>
            </w:r>
          </w:p>
          <w:p w:rsidR="00844D45" w:rsidRDefault="00844D45" w:rsidP="00844D45">
            <w:pPr>
              <w:jc w:val="left"/>
              <w:rPr>
                <w:rFonts w:cstheme="minorHAnsi"/>
              </w:rPr>
            </w:pPr>
            <w:r>
              <w:rPr>
                <w:rFonts w:cstheme="minorHAnsi"/>
              </w:rPr>
              <w:t xml:space="preserve">Through referrals get a sense of family needs and interests </w:t>
            </w:r>
          </w:p>
          <w:p w:rsidR="00844D45" w:rsidRDefault="00844D45" w:rsidP="00844D45">
            <w:pPr>
              <w:jc w:val="left"/>
              <w:rPr>
                <w:rFonts w:cstheme="minorHAnsi"/>
              </w:rPr>
            </w:pPr>
            <w:r>
              <w:rPr>
                <w:rFonts w:cstheme="minorHAnsi"/>
              </w:rPr>
              <w:t xml:space="preserve">Low income and other stresses in the home determine an ongoing need for visits after 4 months   </w:t>
            </w:r>
          </w:p>
          <w:p w:rsidR="00844D45" w:rsidRDefault="00844D45" w:rsidP="00844D45">
            <w:pPr>
              <w:jc w:val="left"/>
              <w:rPr>
                <w:rFonts w:cstheme="minorHAnsi"/>
              </w:rPr>
            </w:pPr>
            <w:r>
              <w:rPr>
                <w:rFonts w:cstheme="minorHAnsi"/>
              </w:rPr>
              <w:lastRenderedPageBreak/>
              <w:t xml:space="preserve">Slide 6 Program managers meet once a month </w:t>
            </w:r>
          </w:p>
          <w:p w:rsidR="00844D45" w:rsidRDefault="00844D45" w:rsidP="00844D45">
            <w:pPr>
              <w:jc w:val="left"/>
              <w:rPr>
                <w:rFonts w:cstheme="minorHAnsi"/>
              </w:rPr>
            </w:pPr>
            <w:r>
              <w:rPr>
                <w:rFonts w:cstheme="minorHAnsi"/>
              </w:rPr>
              <w:t xml:space="preserve">Project tries to work with families when they move from one county to another </w:t>
            </w:r>
          </w:p>
          <w:p w:rsidR="00844D45" w:rsidRDefault="00844D45" w:rsidP="00844D45">
            <w:pPr>
              <w:jc w:val="left"/>
              <w:rPr>
                <w:rFonts w:cstheme="minorHAnsi"/>
              </w:rPr>
            </w:pPr>
            <w:r>
              <w:rPr>
                <w:rFonts w:cstheme="minorHAnsi"/>
              </w:rPr>
              <w:t xml:space="preserve">Slide 7 intensive training big that takes upwards to a year to complete </w:t>
            </w:r>
          </w:p>
          <w:p w:rsidR="00844D45" w:rsidRDefault="00844D45" w:rsidP="00844D45">
            <w:pPr>
              <w:tabs>
                <w:tab w:val="left" w:pos="1607"/>
              </w:tabs>
              <w:jc w:val="left"/>
              <w:rPr>
                <w:rFonts w:cstheme="minorHAnsi"/>
              </w:rPr>
            </w:pPr>
            <w:r>
              <w:rPr>
                <w:rFonts w:cstheme="minorHAnsi"/>
              </w:rPr>
              <w:t xml:space="preserve">Slide 9 Provide resources like: care seat installation; home safety inspections, lactation counseling </w:t>
            </w:r>
          </w:p>
          <w:p w:rsidR="00844D45" w:rsidRDefault="00844D45" w:rsidP="00844D45">
            <w:pPr>
              <w:tabs>
                <w:tab w:val="left" w:pos="1607"/>
              </w:tabs>
              <w:jc w:val="left"/>
              <w:rPr>
                <w:rFonts w:cstheme="minorHAnsi"/>
              </w:rPr>
            </w:pPr>
            <w:r>
              <w:rPr>
                <w:rFonts w:cstheme="minorHAnsi"/>
              </w:rPr>
              <w:t xml:space="preserve">Slide 10 Accountability, visiting staff hold families to the goals and visit typically once per week </w:t>
            </w:r>
          </w:p>
          <w:p w:rsidR="00844D45" w:rsidRDefault="00844D45" w:rsidP="00844D45">
            <w:pPr>
              <w:tabs>
                <w:tab w:val="left" w:pos="1607"/>
              </w:tabs>
              <w:jc w:val="left"/>
              <w:rPr>
                <w:rFonts w:cstheme="minorHAnsi"/>
              </w:rPr>
            </w:pPr>
            <w:r>
              <w:rPr>
                <w:rFonts w:cstheme="minorHAnsi"/>
              </w:rPr>
              <w:t xml:space="preserve">Use questionnaires to track child development </w:t>
            </w:r>
          </w:p>
          <w:p w:rsidR="00844D45" w:rsidRDefault="00844D45" w:rsidP="00844D45">
            <w:pPr>
              <w:tabs>
                <w:tab w:val="left" w:pos="1607"/>
              </w:tabs>
              <w:jc w:val="left"/>
              <w:rPr>
                <w:rFonts w:cstheme="minorHAnsi"/>
              </w:rPr>
            </w:pPr>
            <w:r>
              <w:rPr>
                <w:rFonts w:cstheme="minorHAnsi"/>
              </w:rPr>
              <w:t xml:space="preserve">Communicate results of screenings with primary care </w:t>
            </w:r>
          </w:p>
          <w:p w:rsidR="00844D45" w:rsidRDefault="00844D45" w:rsidP="00844D45">
            <w:pPr>
              <w:tabs>
                <w:tab w:val="left" w:pos="1607"/>
              </w:tabs>
              <w:jc w:val="left"/>
              <w:rPr>
                <w:rFonts w:cstheme="minorHAnsi"/>
              </w:rPr>
            </w:pPr>
            <w:r>
              <w:rPr>
                <w:rFonts w:cstheme="minorHAnsi"/>
              </w:rPr>
              <w:t xml:space="preserve">Play group activities and presentations to get people out of the house and interacting </w:t>
            </w:r>
          </w:p>
          <w:p w:rsidR="00844D45" w:rsidRDefault="00844D45" w:rsidP="00844D45">
            <w:pPr>
              <w:tabs>
                <w:tab w:val="left" w:pos="1607"/>
              </w:tabs>
              <w:jc w:val="left"/>
              <w:rPr>
                <w:rFonts w:cstheme="minorHAnsi"/>
              </w:rPr>
            </w:pPr>
            <w:r>
              <w:rPr>
                <w:rFonts w:cstheme="minorHAnsi"/>
              </w:rPr>
              <w:t>Slide 12 At the state level work to streamline referral process and services available so as not to duplicate</w:t>
            </w:r>
          </w:p>
          <w:p w:rsidR="00844D45" w:rsidRDefault="00844D45" w:rsidP="00844D45">
            <w:pPr>
              <w:tabs>
                <w:tab w:val="left" w:pos="1607"/>
              </w:tabs>
              <w:jc w:val="left"/>
              <w:rPr>
                <w:rFonts w:cstheme="minorHAnsi"/>
                <w:b/>
              </w:rPr>
            </w:pPr>
          </w:p>
          <w:p w:rsidR="00844D45" w:rsidRPr="00844D45" w:rsidRDefault="00844D45" w:rsidP="00844D45">
            <w:pPr>
              <w:tabs>
                <w:tab w:val="left" w:pos="1607"/>
              </w:tabs>
              <w:jc w:val="left"/>
              <w:rPr>
                <w:rFonts w:cstheme="minorHAnsi"/>
                <w:b/>
              </w:rPr>
            </w:pPr>
            <w:r w:rsidRPr="00844D45">
              <w:rPr>
                <w:rFonts w:cstheme="minorHAnsi"/>
                <w:b/>
              </w:rPr>
              <w:t xml:space="preserve">Questions </w:t>
            </w:r>
          </w:p>
          <w:p w:rsidR="00844D45" w:rsidRDefault="00844D45" w:rsidP="00844D45">
            <w:pPr>
              <w:tabs>
                <w:tab w:val="left" w:pos="1607"/>
              </w:tabs>
              <w:jc w:val="left"/>
              <w:rPr>
                <w:rFonts w:cstheme="minorHAnsi"/>
              </w:rPr>
            </w:pPr>
            <w:r>
              <w:rPr>
                <w:rFonts w:cstheme="minorHAnsi"/>
              </w:rPr>
              <w:t>KB &amp; BG: Similar Are home visitors selected based on their understanding or connection to the communities they serve?</w:t>
            </w:r>
          </w:p>
          <w:p w:rsidR="00844D45" w:rsidRDefault="00844D45" w:rsidP="00844D45">
            <w:pPr>
              <w:tabs>
                <w:tab w:val="left" w:pos="1607"/>
              </w:tabs>
              <w:jc w:val="left"/>
              <w:rPr>
                <w:rFonts w:cstheme="minorHAnsi"/>
              </w:rPr>
            </w:pPr>
            <w:r>
              <w:rPr>
                <w:rFonts w:cstheme="minorHAnsi"/>
              </w:rPr>
              <w:t xml:space="preserve">LA: Definitely effort to recruit home visitors with shared traits at the tribal sites and those sites serving new Mainers. </w:t>
            </w:r>
          </w:p>
          <w:p w:rsidR="00844D45" w:rsidRDefault="00844D45" w:rsidP="00844D45">
            <w:pPr>
              <w:tabs>
                <w:tab w:val="left" w:pos="1607"/>
              </w:tabs>
              <w:jc w:val="left"/>
              <w:rPr>
                <w:rFonts w:cstheme="minorHAnsi"/>
              </w:rPr>
            </w:pPr>
            <w:r>
              <w:rPr>
                <w:rFonts w:cstheme="minorHAnsi"/>
              </w:rPr>
              <w:t>BG: Is there a discussion among your peers about potential reimbursement for preventatives services like lactation counseling under the new Medicaid rule?</w:t>
            </w:r>
          </w:p>
          <w:p w:rsidR="00844D45" w:rsidRDefault="00844D45" w:rsidP="00844D45">
            <w:pPr>
              <w:tabs>
                <w:tab w:val="left" w:pos="1607"/>
              </w:tabs>
              <w:jc w:val="left"/>
              <w:rPr>
                <w:rFonts w:cstheme="minorHAnsi"/>
              </w:rPr>
            </w:pPr>
            <w:r>
              <w:rPr>
                <w:rFonts w:cstheme="minorHAnsi"/>
              </w:rPr>
              <w:t xml:space="preserve">LA: Ongoing conversation but there is hesitation because the reimbursement process is complicated; easier for a doctor to bill for preventative services than a home visitor </w:t>
            </w:r>
          </w:p>
          <w:p w:rsidR="00844D45" w:rsidRDefault="00844D45" w:rsidP="00844D45">
            <w:pPr>
              <w:tabs>
                <w:tab w:val="left" w:pos="1607"/>
              </w:tabs>
              <w:jc w:val="left"/>
              <w:rPr>
                <w:rFonts w:cstheme="minorHAnsi"/>
              </w:rPr>
            </w:pPr>
            <w:r>
              <w:rPr>
                <w:rFonts w:cstheme="minorHAnsi"/>
              </w:rPr>
              <w:t>BG: Do home visitors take on a lot of care coordination?</w:t>
            </w:r>
          </w:p>
          <w:p w:rsidR="00844D45" w:rsidRDefault="00844D45" w:rsidP="00844D45">
            <w:pPr>
              <w:tabs>
                <w:tab w:val="left" w:pos="1607"/>
              </w:tabs>
              <w:jc w:val="left"/>
              <w:rPr>
                <w:rFonts w:cstheme="minorHAnsi"/>
              </w:rPr>
            </w:pPr>
            <w:r>
              <w:rPr>
                <w:rFonts w:cstheme="minorHAnsi"/>
              </w:rPr>
              <w:t xml:space="preserve">LA: Care coordination is a big part of the job, although the project has a goal of self-sufficiency for clients it is not always realistic and it is important that client is linked to resources before they age out. </w:t>
            </w:r>
          </w:p>
          <w:p w:rsidR="00844D45" w:rsidRDefault="00844D45" w:rsidP="00844D45">
            <w:pPr>
              <w:tabs>
                <w:tab w:val="left" w:pos="1607"/>
              </w:tabs>
              <w:jc w:val="left"/>
              <w:rPr>
                <w:rFonts w:cstheme="minorHAnsi"/>
              </w:rPr>
            </w:pPr>
            <w:r>
              <w:rPr>
                <w:rFonts w:cstheme="minorHAnsi"/>
              </w:rPr>
              <w:t xml:space="preserve">Currently working with Eastern Maine Med Center on pilot to develop referral algorithm that clarifies between the work of public health nurses and home visitors. Matter of short vs long term care. </w:t>
            </w:r>
          </w:p>
          <w:p w:rsidR="00844D45" w:rsidRDefault="00844D45" w:rsidP="00844D45">
            <w:pPr>
              <w:tabs>
                <w:tab w:val="left" w:pos="1607"/>
              </w:tabs>
              <w:jc w:val="left"/>
              <w:rPr>
                <w:rFonts w:cstheme="minorHAnsi"/>
              </w:rPr>
            </w:pPr>
            <w:r>
              <w:rPr>
                <w:rFonts w:cstheme="minorHAnsi"/>
              </w:rPr>
              <w:t xml:space="preserve">KB: Would components of the training for home visitors be accessible to CHWs? </w:t>
            </w:r>
          </w:p>
          <w:p w:rsidR="00844D45" w:rsidRDefault="002877A1" w:rsidP="00844D45">
            <w:pPr>
              <w:tabs>
                <w:tab w:val="left" w:pos="1607"/>
              </w:tabs>
              <w:jc w:val="left"/>
              <w:rPr>
                <w:rFonts w:cstheme="minorHAnsi"/>
              </w:rPr>
            </w:pPr>
            <w:r>
              <w:rPr>
                <w:rFonts w:cstheme="minorHAnsi"/>
              </w:rPr>
              <w:t xml:space="preserve">LA: </w:t>
            </w:r>
            <w:bookmarkStart w:id="0" w:name="_GoBack"/>
            <w:bookmarkEnd w:id="0"/>
            <w:r w:rsidRPr="002877A1">
              <w:rPr>
                <w:rFonts w:cstheme="minorHAnsi"/>
              </w:rPr>
              <w:t xml:space="preserve"> It depends on the training and the space available but it would be possible to invite CHWs to attend trainings if there is interest and space available. You can contact me moving forward to see if we can coordinate</w:t>
            </w:r>
          </w:p>
          <w:p w:rsidR="00844D45" w:rsidRDefault="00844D45" w:rsidP="00844D45">
            <w:pPr>
              <w:tabs>
                <w:tab w:val="left" w:pos="1607"/>
              </w:tabs>
              <w:jc w:val="left"/>
              <w:rPr>
                <w:rFonts w:cstheme="minorHAnsi"/>
              </w:rPr>
            </w:pPr>
            <w:r>
              <w:rPr>
                <w:rFonts w:cstheme="minorHAnsi"/>
              </w:rPr>
              <w:t>VF: What is the pay range for home visitors considering they have a bachelor’s degree?</w:t>
            </w:r>
          </w:p>
          <w:p w:rsidR="00844D45" w:rsidRDefault="00844D45" w:rsidP="00844D45">
            <w:pPr>
              <w:tabs>
                <w:tab w:val="left" w:pos="1607"/>
              </w:tabs>
              <w:jc w:val="left"/>
              <w:rPr>
                <w:rFonts w:cstheme="minorHAnsi"/>
              </w:rPr>
            </w:pPr>
            <w:r>
              <w:rPr>
                <w:rFonts w:cstheme="minorHAnsi"/>
              </w:rPr>
              <w:t>LA: That depends on where in the state they are located.</w:t>
            </w:r>
          </w:p>
          <w:p w:rsidR="00844D45" w:rsidRDefault="00844D45" w:rsidP="00844D45">
            <w:pPr>
              <w:tabs>
                <w:tab w:val="left" w:pos="1607"/>
              </w:tabs>
              <w:jc w:val="left"/>
              <w:rPr>
                <w:rFonts w:cstheme="minorHAnsi"/>
              </w:rPr>
            </w:pPr>
            <w:r>
              <w:rPr>
                <w:rFonts w:cstheme="minorHAnsi"/>
              </w:rPr>
              <w:t xml:space="preserve">KB &amp; BG: Is there a reason for bachelor degree requirement? </w:t>
            </w:r>
          </w:p>
          <w:p w:rsidR="00844D45" w:rsidRDefault="00844D45" w:rsidP="00844D45">
            <w:pPr>
              <w:tabs>
                <w:tab w:val="left" w:pos="1607"/>
              </w:tabs>
              <w:jc w:val="left"/>
              <w:rPr>
                <w:rFonts w:cstheme="minorHAnsi"/>
              </w:rPr>
            </w:pPr>
            <w:r>
              <w:rPr>
                <w:rFonts w:cstheme="minorHAnsi"/>
              </w:rPr>
              <w:t>LA: Not sure.</w:t>
            </w:r>
          </w:p>
          <w:p w:rsidR="00844D45" w:rsidRDefault="00844D45" w:rsidP="00844D45">
            <w:pPr>
              <w:tabs>
                <w:tab w:val="left" w:pos="1607"/>
              </w:tabs>
              <w:jc w:val="left"/>
              <w:rPr>
                <w:rFonts w:cstheme="minorHAnsi"/>
              </w:rPr>
            </w:pPr>
            <w:r>
              <w:rPr>
                <w:rFonts w:cstheme="minorHAnsi"/>
              </w:rPr>
              <w:t xml:space="preserve">LA: Question for the group, do CHWs do development screenings? It would be great if CHW could team up with a home visitor to complete screening because so much time is devoted to care coordination. </w:t>
            </w:r>
          </w:p>
          <w:p w:rsidR="00844D45" w:rsidRDefault="00844D45" w:rsidP="00844D45">
            <w:pPr>
              <w:tabs>
                <w:tab w:val="left" w:pos="1607"/>
              </w:tabs>
              <w:jc w:val="left"/>
              <w:rPr>
                <w:rFonts w:cstheme="minorHAnsi"/>
              </w:rPr>
            </w:pPr>
            <w:r>
              <w:rPr>
                <w:rFonts w:cstheme="minorHAnsi"/>
              </w:rPr>
              <w:t xml:space="preserve">VF: What is the definition of care coordination? </w:t>
            </w:r>
          </w:p>
          <w:p w:rsidR="00844D45" w:rsidRDefault="00844D45" w:rsidP="00844D45">
            <w:pPr>
              <w:tabs>
                <w:tab w:val="left" w:pos="1607"/>
              </w:tabs>
              <w:jc w:val="left"/>
              <w:rPr>
                <w:rFonts w:cstheme="minorHAnsi"/>
              </w:rPr>
            </w:pPr>
            <w:r>
              <w:rPr>
                <w:rFonts w:cstheme="minorHAnsi"/>
              </w:rPr>
              <w:t xml:space="preserve">LA: Whatever help family needs to be stable, connecting someone to case manager, health insurance, primary care provider, not clinical definition necessarily </w:t>
            </w:r>
          </w:p>
          <w:p w:rsidR="00844D45" w:rsidRDefault="00844D45" w:rsidP="00844D45">
            <w:pPr>
              <w:tabs>
                <w:tab w:val="left" w:pos="1607"/>
              </w:tabs>
              <w:jc w:val="left"/>
              <w:rPr>
                <w:rFonts w:cstheme="minorHAnsi"/>
              </w:rPr>
            </w:pPr>
            <w:r>
              <w:rPr>
                <w:rFonts w:cstheme="minorHAnsi"/>
              </w:rPr>
              <w:t>BG: Are home visitors embedded in a clinical team at a hospital?</w:t>
            </w:r>
          </w:p>
          <w:p w:rsidR="00FA28D7" w:rsidRPr="00844D45" w:rsidRDefault="00844D45" w:rsidP="00844D45">
            <w:pPr>
              <w:tabs>
                <w:tab w:val="left" w:pos="1607"/>
              </w:tabs>
              <w:jc w:val="left"/>
              <w:rPr>
                <w:rFonts w:cstheme="minorHAnsi"/>
              </w:rPr>
            </w:pPr>
            <w:r w:rsidRPr="00844D45">
              <w:rPr>
                <w:rFonts w:cstheme="minorHAnsi"/>
              </w:rPr>
              <w:t>LA: In the tribal communities home visitors are integrated into the community health centers.</w:t>
            </w:r>
          </w:p>
        </w:tc>
      </w:tr>
      <w:tr w:rsidR="00FA28D7" w:rsidRPr="00990D1F" w:rsidTr="002F48DC">
        <w:tc>
          <w:tcPr>
            <w:tcW w:w="822" w:type="pct"/>
          </w:tcPr>
          <w:p w:rsidR="00FA28D7" w:rsidRPr="005F4D9C" w:rsidRDefault="00FA28D7"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lastRenderedPageBreak/>
              <w:t>Public Comment</w:t>
            </w:r>
          </w:p>
        </w:tc>
        <w:tc>
          <w:tcPr>
            <w:tcW w:w="293" w:type="pct"/>
          </w:tcPr>
          <w:p w:rsidR="00FA28D7" w:rsidRDefault="00FA28D7" w:rsidP="00570E9A">
            <w:pPr>
              <w:pStyle w:val="ListParagraph"/>
              <w:jc w:val="left"/>
              <w:rPr>
                <w:rFonts w:cstheme="minorHAnsi"/>
              </w:rPr>
            </w:pPr>
          </w:p>
        </w:tc>
        <w:tc>
          <w:tcPr>
            <w:tcW w:w="3885" w:type="pct"/>
            <w:gridSpan w:val="2"/>
          </w:tcPr>
          <w:p w:rsidR="00FA28D7" w:rsidRPr="00D33F31" w:rsidRDefault="00FA28D7" w:rsidP="00D33F31">
            <w:pPr>
              <w:ind w:left="612" w:hanging="252"/>
              <w:jc w:val="left"/>
              <w:rPr>
                <w:rFonts w:cstheme="minorHAnsi"/>
              </w:rPr>
            </w:pPr>
          </w:p>
        </w:tc>
      </w:tr>
    </w:tbl>
    <w:p w:rsidR="00C043AA" w:rsidRDefault="00C043AA" w:rsidP="00844D45">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00"/>
        <w:gridCol w:w="9298"/>
        <w:gridCol w:w="1322"/>
        <w:gridCol w:w="810"/>
        <w:gridCol w:w="180"/>
        <w:gridCol w:w="788"/>
      </w:tblGrid>
      <w:tr w:rsidR="008A07E3" w:rsidRPr="008A07E3" w:rsidTr="008B31D5">
        <w:trPr>
          <w:cantSplit/>
          <w:trHeight w:val="547"/>
        </w:trPr>
        <w:tc>
          <w:tcPr>
            <w:tcW w:w="180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990" w:type="dxa"/>
            <w:gridSpan w:val="2"/>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78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8B31D5">
        <w:trPr>
          <w:cantSplit/>
          <w:trHeight w:val="266"/>
        </w:trPr>
        <w:tc>
          <w:tcPr>
            <w:tcW w:w="180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844D45" w:rsidP="0022432C">
            <w:pPr>
              <w:jc w:val="left"/>
              <w:rPr>
                <w:rFonts w:cs="Arial"/>
                <w:b/>
                <w:lang w:val="en-AU"/>
              </w:rPr>
            </w:pPr>
            <w:r>
              <w:rPr>
                <w:rFonts w:cs="Arial"/>
                <w:b/>
                <w:lang w:val="en-AU"/>
              </w:rPr>
              <w:t>Presentation</w:t>
            </w:r>
          </w:p>
        </w:tc>
        <w:tc>
          <w:tcPr>
            <w:tcW w:w="9298" w:type="dxa"/>
            <w:tcBorders>
              <w:top w:val="single" w:sz="4" w:space="0" w:color="C0C0C0"/>
              <w:left w:val="single" w:sz="4" w:space="0" w:color="C0C0C0"/>
              <w:bottom w:val="single" w:sz="4" w:space="0" w:color="C0C0C0"/>
              <w:right w:val="single" w:sz="4" w:space="0" w:color="C0C0C0"/>
            </w:tcBorders>
          </w:tcPr>
          <w:p w:rsidR="008A07E3" w:rsidRPr="006554C1" w:rsidRDefault="00844D45" w:rsidP="0022432C">
            <w:pPr>
              <w:jc w:val="left"/>
              <w:rPr>
                <w:rFonts w:cs="Arial"/>
                <w:lang w:val="en-AU"/>
              </w:rPr>
            </w:pPr>
            <w:r>
              <w:rPr>
                <w:rFonts w:cs="Arial"/>
                <w:lang w:val="en-AU"/>
              </w:rPr>
              <w:t xml:space="preserve">Ben </w:t>
            </w:r>
            <w:r w:rsidR="00623713">
              <w:rPr>
                <w:rFonts w:cs="Arial"/>
                <w:lang w:val="en-AU"/>
              </w:rPr>
              <w:t xml:space="preserve">Hummel </w:t>
            </w:r>
            <w:r>
              <w:rPr>
                <w:rFonts w:cs="Arial"/>
                <w:lang w:val="en-AU"/>
              </w:rPr>
              <w:t xml:space="preserve">will circulate the two page handout from Lee Andrews’ presentation to the group. </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810"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968" w:type="dxa"/>
            <w:gridSpan w:val="2"/>
            <w:tcBorders>
              <w:top w:val="single" w:sz="4" w:space="0" w:color="C0C0C0"/>
              <w:left w:val="single" w:sz="4" w:space="0" w:color="C0C0C0"/>
              <w:bottom w:val="single" w:sz="4" w:space="0" w:color="C0C0C0"/>
              <w:right w:val="single" w:sz="4" w:space="0" w:color="C0C0C0"/>
            </w:tcBorders>
          </w:tcPr>
          <w:p w:rsidR="008A07E3" w:rsidRDefault="008A07E3" w:rsidP="0022432C">
            <w:pPr>
              <w:jc w:val="left"/>
              <w:rPr>
                <w:rFonts w:cs="Arial"/>
                <w:sz w:val="24"/>
                <w:szCs w:val="24"/>
                <w:lang w:val="en-AU"/>
              </w:rPr>
            </w:pPr>
          </w:p>
          <w:p w:rsidR="00F958B7" w:rsidRPr="006554C1" w:rsidRDefault="00F958B7" w:rsidP="0022432C">
            <w:pPr>
              <w:jc w:val="left"/>
              <w:rPr>
                <w:rFonts w:cs="Arial"/>
                <w:sz w:val="24"/>
                <w:szCs w:val="24"/>
                <w:lang w:val="en-AU"/>
              </w:rPr>
            </w:pPr>
          </w:p>
        </w:tc>
      </w:tr>
      <w:tr w:rsidR="008A07E3" w:rsidRPr="004D53AB" w:rsidTr="008B31D5">
        <w:trPr>
          <w:cantSplit/>
          <w:trHeight w:val="266"/>
        </w:trPr>
        <w:tc>
          <w:tcPr>
            <w:tcW w:w="1800" w:type="dxa"/>
            <w:tcBorders>
              <w:top w:val="single" w:sz="4" w:space="0" w:color="C0C0C0"/>
              <w:left w:val="single" w:sz="4" w:space="0" w:color="C0C0C0"/>
              <w:bottom w:val="single" w:sz="4" w:space="0" w:color="C0C0C0"/>
              <w:right w:val="single" w:sz="4" w:space="0" w:color="C0C0C0"/>
            </w:tcBorders>
            <w:vAlign w:val="center"/>
          </w:tcPr>
          <w:p w:rsidR="008A07E3" w:rsidRPr="008B31D5" w:rsidRDefault="008B31D5" w:rsidP="0022432C">
            <w:pPr>
              <w:jc w:val="left"/>
              <w:rPr>
                <w:rFonts w:cs="Arial"/>
                <w:b/>
                <w:lang w:val="en-AU"/>
              </w:rPr>
            </w:pPr>
            <w:r w:rsidRPr="008B31D5">
              <w:rPr>
                <w:rFonts w:cs="Arial"/>
                <w:b/>
                <w:lang w:val="en-AU"/>
              </w:rPr>
              <w:t>Future Meetings</w:t>
            </w:r>
          </w:p>
        </w:tc>
        <w:tc>
          <w:tcPr>
            <w:tcW w:w="9298" w:type="dxa"/>
            <w:tcBorders>
              <w:top w:val="single" w:sz="4" w:space="0" w:color="C0C0C0"/>
              <w:left w:val="single" w:sz="4" w:space="0" w:color="C0C0C0"/>
              <w:bottom w:val="single" w:sz="4" w:space="0" w:color="C0C0C0"/>
              <w:right w:val="single" w:sz="4" w:space="0" w:color="C0C0C0"/>
            </w:tcBorders>
          </w:tcPr>
          <w:p w:rsidR="008A07E3" w:rsidRPr="008B31D5" w:rsidRDefault="008B31D5" w:rsidP="00F93103">
            <w:pPr>
              <w:jc w:val="left"/>
              <w:rPr>
                <w:rFonts w:cs="Arial"/>
                <w:lang w:val="en-AU"/>
              </w:rPr>
            </w:pPr>
            <w:r w:rsidRPr="008B31D5">
              <w:rPr>
                <w:rFonts w:cs="Arial"/>
                <w:lang w:val="en-AU"/>
              </w:rPr>
              <w:t>Only MMHP and MGH host were in person to participate in this month’s meeting.  There has been markedly less participation at both central Maine meeting locations which here intended to give southern and northern/eastern groups’ time together. Will need to revisit this scheduling to see how to move forward.</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810" w:type="dxa"/>
            <w:tcBorders>
              <w:top w:val="single" w:sz="4" w:space="0" w:color="C0C0C0"/>
              <w:left w:val="single" w:sz="4" w:space="0" w:color="C0C0C0"/>
              <w:bottom w:val="single" w:sz="4" w:space="0" w:color="C0C0C0"/>
              <w:right w:val="single" w:sz="4" w:space="0" w:color="C0C0C0"/>
            </w:tcBorders>
          </w:tcPr>
          <w:p w:rsidR="00F958B7" w:rsidRPr="006554C1" w:rsidRDefault="008B31D5" w:rsidP="0022432C">
            <w:pPr>
              <w:jc w:val="left"/>
              <w:rPr>
                <w:rFonts w:cs="Arial"/>
                <w:sz w:val="24"/>
                <w:szCs w:val="24"/>
                <w:lang w:val="en-AU"/>
              </w:rPr>
            </w:pPr>
            <w:r>
              <w:rPr>
                <w:rFonts w:cs="Arial"/>
                <w:sz w:val="24"/>
                <w:szCs w:val="24"/>
                <w:lang w:val="en-AU"/>
              </w:rPr>
              <w:t>BG</w:t>
            </w:r>
          </w:p>
        </w:tc>
        <w:tc>
          <w:tcPr>
            <w:tcW w:w="968" w:type="dxa"/>
            <w:gridSpan w:val="2"/>
            <w:tcBorders>
              <w:top w:val="single" w:sz="4" w:space="0" w:color="C0C0C0"/>
              <w:left w:val="single" w:sz="4" w:space="0" w:color="C0C0C0"/>
              <w:bottom w:val="single" w:sz="4" w:space="0" w:color="C0C0C0"/>
              <w:right w:val="single" w:sz="4" w:space="0" w:color="C0C0C0"/>
            </w:tcBorders>
          </w:tcPr>
          <w:p w:rsidR="008A07E3" w:rsidRPr="006554C1" w:rsidRDefault="008B31D5" w:rsidP="0022432C">
            <w:pPr>
              <w:jc w:val="left"/>
              <w:rPr>
                <w:rFonts w:cs="Arial"/>
                <w:sz w:val="24"/>
                <w:szCs w:val="24"/>
                <w:lang w:val="en-AU"/>
              </w:rPr>
            </w:pPr>
            <w:r>
              <w:rPr>
                <w:rFonts w:cs="Arial"/>
                <w:sz w:val="24"/>
                <w:szCs w:val="24"/>
                <w:lang w:val="en-AU"/>
              </w:rPr>
              <w:t>06/14</w:t>
            </w: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DA3157" w:rsidP="00085AE7">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13" w:rsidRDefault="003F7E13" w:rsidP="005261E9">
      <w:r>
        <w:separator/>
      </w:r>
    </w:p>
  </w:endnote>
  <w:endnote w:type="continuationSeparator" w:id="0">
    <w:p w:rsidR="003F7E13" w:rsidRDefault="003F7E13"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877A1">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877A1">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13" w:rsidRDefault="003F7E13" w:rsidP="005261E9">
      <w:r>
        <w:separator/>
      </w:r>
    </w:p>
  </w:footnote>
  <w:footnote w:type="continuationSeparator" w:id="0">
    <w:p w:rsidR="003F7E13" w:rsidRDefault="003F7E13"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3F7E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292939"/>
    <w:multiLevelType w:val="hybridMultilevel"/>
    <w:tmpl w:val="F024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3"/>
  </w:num>
  <w:num w:numId="7">
    <w:abstractNumId w:val="13"/>
  </w:num>
  <w:num w:numId="8">
    <w:abstractNumId w:val="19"/>
  </w:num>
  <w:num w:numId="9">
    <w:abstractNumId w:val="3"/>
  </w:num>
  <w:num w:numId="10">
    <w:abstractNumId w:val="24"/>
  </w:num>
  <w:num w:numId="11">
    <w:abstractNumId w:val="16"/>
  </w:num>
  <w:num w:numId="12">
    <w:abstractNumId w:val="8"/>
  </w:num>
  <w:num w:numId="13">
    <w:abstractNumId w:val="27"/>
  </w:num>
  <w:num w:numId="14">
    <w:abstractNumId w:val="1"/>
  </w:num>
  <w:num w:numId="15">
    <w:abstractNumId w:val="26"/>
  </w:num>
  <w:num w:numId="16">
    <w:abstractNumId w:val="5"/>
  </w:num>
  <w:num w:numId="17">
    <w:abstractNumId w:val="18"/>
  </w:num>
  <w:num w:numId="18">
    <w:abstractNumId w:val="14"/>
  </w:num>
  <w:num w:numId="19">
    <w:abstractNumId w:val="22"/>
  </w:num>
  <w:num w:numId="20">
    <w:abstractNumId w:val="6"/>
  </w:num>
  <w:num w:numId="21">
    <w:abstractNumId w:val="28"/>
  </w:num>
  <w:num w:numId="22">
    <w:abstractNumId w:val="7"/>
  </w:num>
  <w:num w:numId="23">
    <w:abstractNumId w:val="17"/>
  </w:num>
  <w:num w:numId="24">
    <w:abstractNumId w:val="4"/>
  </w:num>
  <w:num w:numId="25">
    <w:abstractNumId w:val="21"/>
  </w:num>
  <w:num w:numId="26">
    <w:abstractNumId w:val="20"/>
  </w:num>
  <w:num w:numId="27">
    <w:abstractNumId w:val="25"/>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5FA5"/>
    <w:rsid w:val="00146FBA"/>
    <w:rsid w:val="001525A3"/>
    <w:rsid w:val="00161C2B"/>
    <w:rsid w:val="00164916"/>
    <w:rsid w:val="001828B7"/>
    <w:rsid w:val="001A4115"/>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74FDF"/>
    <w:rsid w:val="00282E0A"/>
    <w:rsid w:val="00283021"/>
    <w:rsid w:val="00286629"/>
    <w:rsid w:val="002877A1"/>
    <w:rsid w:val="00291E95"/>
    <w:rsid w:val="002924EB"/>
    <w:rsid w:val="002B6325"/>
    <w:rsid w:val="002B70BD"/>
    <w:rsid w:val="002C2DD3"/>
    <w:rsid w:val="002C2FBA"/>
    <w:rsid w:val="002C7742"/>
    <w:rsid w:val="002D0658"/>
    <w:rsid w:val="002D5DEA"/>
    <w:rsid w:val="002D664C"/>
    <w:rsid w:val="002E4357"/>
    <w:rsid w:val="002E45B1"/>
    <w:rsid w:val="002F48DC"/>
    <w:rsid w:val="002F4AEB"/>
    <w:rsid w:val="00302696"/>
    <w:rsid w:val="00310718"/>
    <w:rsid w:val="003128FE"/>
    <w:rsid w:val="00324CF3"/>
    <w:rsid w:val="0032502E"/>
    <w:rsid w:val="0033176A"/>
    <w:rsid w:val="0033286A"/>
    <w:rsid w:val="0035442F"/>
    <w:rsid w:val="00362684"/>
    <w:rsid w:val="0036506D"/>
    <w:rsid w:val="00373A02"/>
    <w:rsid w:val="00374E5B"/>
    <w:rsid w:val="00377C6E"/>
    <w:rsid w:val="003B3A33"/>
    <w:rsid w:val="003C1F65"/>
    <w:rsid w:val="003C3747"/>
    <w:rsid w:val="003E0D8E"/>
    <w:rsid w:val="003E2AC7"/>
    <w:rsid w:val="003F0DC9"/>
    <w:rsid w:val="003F7E13"/>
    <w:rsid w:val="00405196"/>
    <w:rsid w:val="00420ED3"/>
    <w:rsid w:val="004279FF"/>
    <w:rsid w:val="00433EB8"/>
    <w:rsid w:val="0043502A"/>
    <w:rsid w:val="0044521E"/>
    <w:rsid w:val="00456CF4"/>
    <w:rsid w:val="0046623E"/>
    <w:rsid w:val="004776A0"/>
    <w:rsid w:val="00485155"/>
    <w:rsid w:val="00496871"/>
    <w:rsid w:val="004A6BC9"/>
    <w:rsid w:val="004D0A28"/>
    <w:rsid w:val="004D339E"/>
    <w:rsid w:val="004D53AB"/>
    <w:rsid w:val="004F0AC7"/>
    <w:rsid w:val="004F1BB2"/>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23713"/>
    <w:rsid w:val="0063630E"/>
    <w:rsid w:val="006379DA"/>
    <w:rsid w:val="006444D7"/>
    <w:rsid w:val="006554C1"/>
    <w:rsid w:val="00667AC1"/>
    <w:rsid w:val="00671C49"/>
    <w:rsid w:val="006813C4"/>
    <w:rsid w:val="00683928"/>
    <w:rsid w:val="006855F8"/>
    <w:rsid w:val="0069587D"/>
    <w:rsid w:val="00695ACC"/>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44D45"/>
    <w:rsid w:val="0085323D"/>
    <w:rsid w:val="008623EC"/>
    <w:rsid w:val="00891C68"/>
    <w:rsid w:val="008A07E3"/>
    <w:rsid w:val="008B0882"/>
    <w:rsid w:val="008B1CD7"/>
    <w:rsid w:val="008B31D5"/>
    <w:rsid w:val="008B4134"/>
    <w:rsid w:val="008E0FE6"/>
    <w:rsid w:val="008F74F2"/>
    <w:rsid w:val="009202FD"/>
    <w:rsid w:val="00926DAC"/>
    <w:rsid w:val="009322EB"/>
    <w:rsid w:val="0093234D"/>
    <w:rsid w:val="009344D1"/>
    <w:rsid w:val="00942E2B"/>
    <w:rsid w:val="0094434A"/>
    <w:rsid w:val="00946F81"/>
    <w:rsid w:val="009539B2"/>
    <w:rsid w:val="0096235E"/>
    <w:rsid w:val="009730F0"/>
    <w:rsid w:val="00975189"/>
    <w:rsid w:val="00981AED"/>
    <w:rsid w:val="009821E5"/>
    <w:rsid w:val="009905A7"/>
    <w:rsid w:val="00990D1F"/>
    <w:rsid w:val="009923E9"/>
    <w:rsid w:val="009955C5"/>
    <w:rsid w:val="009A1EF4"/>
    <w:rsid w:val="009A2822"/>
    <w:rsid w:val="009B3346"/>
    <w:rsid w:val="009D769B"/>
    <w:rsid w:val="009D7AA8"/>
    <w:rsid w:val="009E1125"/>
    <w:rsid w:val="009E32ED"/>
    <w:rsid w:val="009E78DC"/>
    <w:rsid w:val="009E7FF6"/>
    <w:rsid w:val="009F1D31"/>
    <w:rsid w:val="009F224F"/>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430C"/>
    <w:rsid w:val="00AA53E1"/>
    <w:rsid w:val="00AA6CCE"/>
    <w:rsid w:val="00AB03ED"/>
    <w:rsid w:val="00AB0B15"/>
    <w:rsid w:val="00AB7558"/>
    <w:rsid w:val="00AC0CE5"/>
    <w:rsid w:val="00AC2CB9"/>
    <w:rsid w:val="00AC7353"/>
    <w:rsid w:val="00AE05D2"/>
    <w:rsid w:val="00AE5F30"/>
    <w:rsid w:val="00AF2735"/>
    <w:rsid w:val="00B00402"/>
    <w:rsid w:val="00B025DA"/>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873E6"/>
    <w:rsid w:val="00B91424"/>
    <w:rsid w:val="00BA1A35"/>
    <w:rsid w:val="00BA716E"/>
    <w:rsid w:val="00BB4447"/>
    <w:rsid w:val="00BB75F8"/>
    <w:rsid w:val="00BC01BD"/>
    <w:rsid w:val="00BC2A14"/>
    <w:rsid w:val="00BC2BC9"/>
    <w:rsid w:val="00BC48FB"/>
    <w:rsid w:val="00BC4FA9"/>
    <w:rsid w:val="00BD278D"/>
    <w:rsid w:val="00BD4073"/>
    <w:rsid w:val="00BE022C"/>
    <w:rsid w:val="00BF164A"/>
    <w:rsid w:val="00BF1788"/>
    <w:rsid w:val="00BF5044"/>
    <w:rsid w:val="00C043AA"/>
    <w:rsid w:val="00C06730"/>
    <w:rsid w:val="00C32815"/>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4655"/>
    <w:rsid w:val="00CC5004"/>
    <w:rsid w:val="00CD1E3B"/>
    <w:rsid w:val="00CD22D2"/>
    <w:rsid w:val="00CF6EF2"/>
    <w:rsid w:val="00D00D15"/>
    <w:rsid w:val="00D136B3"/>
    <w:rsid w:val="00D16513"/>
    <w:rsid w:val="00D17CC9"/>
    <w:rsid w:val="00D20057"/>
    <w:rsid w:val="00D243A2"/>
    <w:rsid w:val="00D26692"/>
    <w:rsid w:val="00D33C69"/>
    <w:rsid w:val="00D33F31"/>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452A"/>
    <w:rsid w:val="00DE7656"/>
    <w:rsid w:val="00DF0426"/>
    <w:rsid w:val="00DF3F66"/>
    <w:rsid w:val="00DF4F90"/>
    <w:rsid w:val="00DF6EE8"/>
    <w:rsid w:val="00E02E71"/>
    <w:rsid w:val="00E0433A"/>
    <w:rsid w:val="00E04B66"/>
    <w:rsid w:val="00E10F9A"/>
    <w:rsid w:val="00E16FAD"/>
    <w:rsid w:val="00E22D25"/>
    <w:rsid w:val="00E2772A"/>
    <w:rsid w:val="00E27DCF"/>
    <w:rsid w:val="00E65FB7"/>
    <w:rsid w:val="00E75F2C"/>
    <w:rsid w:val="00E82E95"/>
    <w:rsid w:val="00E844DE"/>
    <w:rsid w:val="00E93629"/>
    <w:rsid w:val="00E95CFE"/>
    <w:rsid w:val="00EA19D4"/>
    <w:rsid w:val="00EB5D6A"/>
    <w:rsid w:val="00EC2CBE"/>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paragraph" w:styleId="NormalWeb">
    <w:name w:val="Normal (Web)"/>
    <w:basedOn w:val="Normal"/>
    <w:uiPriority w:val="99"/>
    <w:semiHidden/>
    <w:unhideWhenUsed/>
    <w:rsid w:val="00975189"/>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paragraph" w:styleId="NormalWeb">
    <w:name w:val="Normal (Web)"/>
    <w:basedOn w:val="Normal"/>
    <w:uiPriority w:val="99"/>
    <w:semiHidden/>
    <w:unhideWhenUsed/>
    <w:rsid w:val="00975189"/>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 w:id="1099256215">
      <w:bodyDiv w:val="1"/>
      <w:marLeft w:val="0"/>
      <w:marRight w:val="0"/>
      <w:marTop w:val="0"/>
      <w:marBottom w:val="0"/>
      <w:divBdr>
        <w:top w:val="none" w:sz="0" w:space="0" w:color="auto"/>
        <w:left w:val="none" w:sz="0" w:space="0" w:color="auto"/>
        <w:bottom w:val="none" w:sz="0" w:space="0" w:color="auto"/>
        <w:right w:val="none" w:sz="0" w:space="0" w:color="auto"/>
      </w:divBdr>
    </w:div>
    <w:div w:id="1219197861">
      <w:bodyDiv w:val="1"/>
      <w:marLeft w:val="0"/>
      <w:marRight w:val="0"/>
      <w:marTop w:val="0"/>
      <w:marBottom w:val="0"/>
      <w:divBdr>
        <w:top w:val="none" w:sz="0" w:space="0" w:color="auto"/>
        <w:left w:val="none" w:sz="0" w:space="0" w:color="auto"/>
        <w:bottom w:val="none" w:sz="0" w:space="0" w:color="auto"/>
        <w:right w:val="none" w:sz="0" w:space="0" w:color="auto"/>
      </w:divBdr>
    </w:div>
    <w:div w:id="20415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9C38-CA03-4E02-AC72-38E6FA1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Barbara Ginley</cp:lastModifiedBy>
  <cp:revision>11</cp:revision>
  <cp:lastPrinted>2013-11-01T13:06:00Z</cp:lastPrinted>
  <dcterms:created xsi:type="dcterms:W3CDTF">2014-05-21T17:38:00Z</dcterms:created>
  <dcterms:modified xsi:type="dcterms:W3CDTF">2014-05-22T13:47:00Z</dcterms:modified>
</cp:coreProperties>
</file>